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opLinePunct/>
        <w:jc w:val="center"/>
        <w:rPr>
          <w:rFonts w:ascii="宋体" w:hAnsi="宋体" w:cs="宋体"/>
          <w:b/>
          <w:kern w:val="0"/>
          <w:sz w:val="32"/>
          <w:szCs w:val="32"/>
        </w:rPr>
      </w:pPr>
      <w:r>
        <w:rPr>
          <w:rFonts w:hint="eastAsia" w:ascii="宋体" w:hAnsi="宋体" w:cs="宋体"/>
          <w:b/>
          <w:kern w:val="0"/>
          <w:sz w:val="32"/>
          <w:szCs w:val="32"/>
        </w:rPr>
        <w:t>江苏省中等职业学校机械类专业</w:t>
      </w:r>
    </w:p>
    <w:p>
      <w:pPr>
        <w:topLinePunct/>
        <w:jc w:val="center"/>
        <w:rPr>
          <w:rFonts w:ascii="宋体" w:hAnsi="宋体" w:cs="宋体"/>
          <w:b/>
          <w:kern w:val="0"/>
          <w:sz w:val="32"/>
          <w:szCs w:val="32"/>
        </w:rPr>
      </w:pPr>
      <w:r>
        <w:rPr>
          <w:rFonts w:hint="eastAsia" w:ascii="宋体" w:hAnsi="宋体" w:cs="宋体"/>
          <w:b/>
          <w:kern w:val="0"/>
          <w:sz w:val="32"/>
          <w:szCs w:val="32"/>
        </w:rPr>
        <w:t>《金属切削加工基础》课程标准（试行）</w:t>
      </w:r>
    </w:p>
    <w:p>
      <w:pPr>
        <w:topLinePunct/>
        <w:jc w:val="center"/>
        <w:rPr>
          <w:rFonts w:ascii="宋体" w:hAnsi="宋体" w:cs="宋体"/>
          <w:b/>
          <w:kern w:val="0"/>
          <w:sz w:val="32"/>
          <w:szCs w:val="32"/>
        </w:rPr>
      </w:pPr>
    </w:p>
    <w:p>
      <w:pPr>
        <w:widowControl/>
        <w:topLinePunct/>
        <w:ind w:firstLine="478" w:firstLineChars="170"/>
        <w:jc w:val="left"/>
        <w:rPr>
          <w:rFonts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一、课程性质</w:t>
      </w:r>
    </w:p>
    <w:p>
      <w:pPr>
        <w:topLinePunct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本</w:t>
      </w:r>
      <w:r>
        <w:rPr>
          <w:rFonts w:hint="eastAsia" w:ascii="宋体" w:hAnsi="宋体"/>
          <w:sz w:val="24"/>
        </w:rPr>
        <w:t>课程是</w:t>
      </w:r>
      <w:r>
        <w:rPr>
          <w:rFonts w:hint="eastAsia" w:ascii="宋体" w:hAnsi="宋体" w:cs="宋体"/>
          <w:kern w:val="0"/>
          <w:sz w:val="24"/>
        </w:rPr>
        <w:t>江苏省中等职业学校机械类专业必修的一门专业类平台课程，是在《机械制图》《机械基础》等课程基础上，开设的一门理论与实践相结合的专业课程，其任务是让机械类各专业学生掌握金属切削加工、金属切削机床和零件生产过程等基础知识和基本技能，为培养其行业通用能力提供课程支撑</w:t>
      </w:r>
      <w:r>
        <w:rPr>
          <w:rFonts w:hint="eastAsia" w:ascii="宋体" w:hAnsi="宋体"/>
          <w:sz w:val="24"/>
        </w:rPr>
        <w:t>，同时也</w:t>
      </w:r>
      <w:r>
        <w:rPr>
          <w:rFonts w:hint="eastAsia" w:ascii="宋体" w:hAnsi="宋体" w:cs="宋体"/>
          <w:kern w:val="0"/>
          <w:sz w:val="24"/>
        </w:rPr>
        <w:t>为机械类各专业后续课程的学习奠定基础。</w:t>
      </w:r>
    </w:p>
    <w:p>
      <w:pPr>
        <w:widowControl/>
        <w:topLinePunct/>
        <w:ind w:firstLine="478" w:firstLineChars="170"/>
        <w:jc w:val="left"/>
        <w:rPr>
          <w:rFonts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二、学时与学分</w:t>
      </w:r>
    </w:p>
    <w:p>
      <w:pPr>
        <w:topLinePunct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36学</w:t>
      </w:r>
      <w:r>
        <w:rPr>
          <w:rFonts w:hint="eastAsia" w:ascii="宋体" w:hAnsi="宋体" w:cs="宋体"/>
          <w:kern w:val="0"/>
          <w:sz w:val="24"/>
        </w:rPr>
        <w:t>时，</w:t>
      </w:r>
      <w:r>
        <w:rPr>
          <w:rFonts w:ascii="宋体" w:hAnsi="宋体" w:cs="宋体"/>
          <w:kern w:val="0"/>
          <w:sz w:val="24"/>
        </w:rPr>
        <w:t>2</w:t>
      </w:r>
      <w:r>
        <w:rPr>
          <w:rFonts w:hint="eastAsia" w:ascii="宋体" w:hAnsi="宋体" w:cs="宋体"/>
          <w:kern w:val="0"/>
          <w:sz w:val="24"/>
        </w:rPr>
        <w:t>学分</w:t>
      </w:r>
      <w:r>
        <w:rPr>
          <w:rFonts w:hint="eastAsia" w:ascii="宋体" w:hAnsi="宋体"/>
          <w:sz w:val="24"/>
        </w:rPr>
        <w:t>。</w:t>
      </w:r>
    </w:p>
    <w:p>
      <w:pPr>
        <w:widowControl/>
        <w:topLinePunct/>
        <w:ind w:firstLine="478" w:firstLineChars="170"/>
        <w:jc w:val="left"/>
        <w:rPr>
          <w:rFonts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三、课程设计思路</w:t>
      </w:r>
    </w:p>
    <w:p>
      <w:pPr>
        <w:topLinePunct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 w:cs="宋体"/>
          <w:color w:val="000000"/>
          <w:sz w:val="24"/>
        </w:rPr>
        <w:t>本课程按照立德树人的要求，突出职业能力培养，兼顾中高职课程衔接，</w:t>
      </w:r>
      <w:r>
        <w:rPr>
          <w:rFonts w:hint="eastAsia" w:ascii="宋体" w:hAnsi="宋体"/>
          <w:sz w:val="24"/>
        </w:rPr>
        <w:t>高度融合机械专业切削加工知识技能的学习和职业精神的培养。</w:t>
      </w:r>
    </w:p>
    <w:p>
      <w:pPr>
        <w:topLinePunct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1.依据机械专业类行业面向和职业面向，</w:t>
      </w:r>
      <w:bookmarkStart w:id="0" w:name="_Hlk55886669"/>
      <w:r>
        <w:rPr>
          <w:rFonts w:hint="eastAsia" w:ascii="宋体" w:hAnsi="宋体"/>
          <w:sz w:val="24"/>
        </w:rPr>
        <w:t>以及《江苏省中等职业学校机械专业类课程指导方案》</w:t>
      </w:r>
      <w:bookmarkEnd w:id="0"/>
      <w:r>
        <w:rPr>
          <w:rFonts w:hint="eastAsia" w:ascii="宋体" w:hAnsi="宋体"/>
          <w:sz w:val="24"/>
        </w:rPr>
        <w:t>中确定的人才培养定位、综合素质和职业能力要求，结合本课程的性质和职业教育课程教学的最新理念，按照知识与技能、过程与方法、情感态度与价值观三个维度，突出金属切削加工等知识与技能的培养，结合学生职业生涯发展需要，确定本课程目标。</w:t>
      </w:r>
    </w:p>
    <w:p>
      <w:pPr>
        <w:topLinePunct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根据课程目标，以及机械类专业技能岗位需求，对接国家职业标准（初级）、职业技能等级标准（初级），充分考虑机械类专业中各专业方向的共性知识需求，通过对金属材料、金属切削机床与刀具、机制工艺等相关内容的整合，反映技术进步和生产实际，体现科学性、前沿性、适用性原则，确定本课程内容。</w:t>
      </w:r>
    </w:p>
    <w:p>
      <w:pPr>
        <w:topLinePunct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3.以金属切削加工的类型和特点为课程设计主线，设置了金属切削加工基础、金属切削机床及应用、零件的生产加工过程等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个模块、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4</w:t>
      </w:r>
      <w:r>
        <w:rPr>
          <w:rFonts w:ascii="宋体" w:hAnsi="宋体"/>
          <w:sz w:val="24"/>
        </w:rPr>
        <w:t>个学习单元</w:t>
      </w:r>
      <w:r>
        <w:rPr>
          <w:rFonts w:hint="eastAsia" w:ascii="宋体" w:hAnsi="宋体"/>
          <w:sz w:val="24"/>
        </w:rPr>
        <w:t>，根据学生认知规律，序化教学内容。</w:t>
      </w:r>
    </w:p>
    <w:p>
      <w:pPr>
        <w:widowControl/>
        <w:topLinePunct/>
        <w:ind w:firstLine="478" w:firstLineChars="170"/>
        <w:jc w:val="left"/>
        <w:rPr>
          <w:rFonts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四、课程目标</w:t>
      </w:r>
    </w:p>
    <w:p>
      <w:pPr>
        <w:pStyle w:val="10"/>
        <w:topLinePunct/>
        <w:ind w:firstLine="48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学生通过学习本课程，掌握金属切削加工的</w:t>
      </w:r>
      <w:r>
        <w:rPr>
          <w:rFonts w:hint="eastAsia" w:ascii="宋体" w:hAnsi="宋体"/>
          <w:sz w:val="24"/>
          <w:lang w:val="en-US" w:eastAsia="zh-CN"/>
        </w:rPr>
        <w:t>基础</w:t>
      </w:r>
      <w:r>
        <w:rPr>
          <w:rFonts w:hint="eastAsia" w:ascii="宋体" w:hAnsi="宋体"/>
          <w:sz w:val="24"/>
        </w:rPr>
        <w:t>知识和基本技能，具备机械加工岗位基本工作能力，形成良好的职业道德和职业习惯。</w:t>
      </w:r>
    </w:p>
    <w:p>
      <w:pPr>
        <w:pStyle w:val="10"/>
        <w:topLinePunct/>
        <w:ind w:firstLine="48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1.熟悉金属切削加工的运动组成和切削要素，理解常用刀具材料性能及适用场合，掌握常见金属切削机床类型及应用范围，掌握金属切削加工的简单工艺知识，了解</w:t>
      </w:r>
      <w:r>
        <w:rPr>
          <w:rFonts w:ascii="宋体" w:hAnsi="宋体"/>
          <w:sz w:val="24"/>
        </w:rPr>
        <w:t>数控加工基本知识</w:t>
      </w:r>
      <w:r>
        <w:rPr>
          <w:rFonts w:hint="eastAsia" w:ascii="宋体" w:hAnsi="宋体"/>
          <w:sz w:val="24"/>
        </w:rPr>
        <w:t>。</w:t>
      </w:r>
    </w:p>
    <w:p>
      <w:pPr>
        <w:pStyle w:val="10"/>
        <w:topLinePunct/>
        <w:ind w:firstLine="48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2.会根据</w:t>
      </w:r>
      <w:r>
        <w:rPr>
          <w:rFonts w:ascii="宋体" w:hAnsi="宋体"/>
          <w:sz w:val="24"/>
        </w:rPr>
        <w:t>切削加工</w:t>
      </w:r>
      <w:r>
        <w:rPr>
          <w:rFonts w:hint="eastAsia" w:ascii="宋体" w:hAnsi="宋体"/>
          <w:sz w:val="24"/>
        </w:rPr>
        <w:t>要求正确选用机床、工装、量具、刀具。</w:t>
      </w:r>
      <w:r>
        <w:rPr>
          <w:rFonts w:ascii="宋体" w:hAnsi="宋体"/>
          <w:sz w:val="24"/>
        </w:rPr>
        <w:t xml:space="preserve"> </w:t>
      </w:r>
    </w:p>
    <w:p>
      <w:pPr>
        <w:pStyle w:val="10"/>
        <w:topLinePunct/>
        <w:ind w:firstLine="48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3.能编制简单零件的加工方案，会识读典型零件的加工方案。</w:t>
      </w:r>
    </w:p>
    <w:p>
      <w:pPr>
        <w:pStyle w:val="10"/>
        <w:topLinePunct/>
        <w:ind w:firstLine="48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4</w:t>
      </w:r>
      <w:r>
        <w:rPr>
          <w:rFonts w:hint="eastAsia" w:ascii="宋体" w:hAnsi="宋体"/>
          <w:sz w:val="24"/>
        </w:rPr>
        <w:t>.具有理论联系实际、独立分析、自主探究、解决问题的能力，能独立或协作解决学习中的常见问题。</w:t>
      </w:r>
    </w:p>
    <w:p>
      <w:pPr>
        <w:pStyle w:val="10"/>
        <w:topLinePunct/>
        <w:ind w:firstLine="48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.具有优良的道德品德、良好的职业素养，</w:t>
      </w:r>
      <w:r>
        <w:rPr>
          <w:rFonts w:hint="eastAsia" w:ascii="宋体" w:hAnsi="宋体"/>
          <w:sz w:val="24"/>
          <w:lang w:eastAsia="zh-CN"/>
        </w:rPr>
        <w:t>以及</w:t>
      </w:r>
      <w:r>
        <w:rPr>
          <w:rFonts w:hint="eastAsia" w:ascii="宋体" w:hAnsi="宋体"/>
          <w:sz w:val="24"/>
        </w:rPr>
        <w:t>吃苦耐劳的职业精神和工程创新意识。</w:t>
      </w:r>
    </w:p>
    <w:p>
      <w:pPr>
        <w:widowControl/>
        <w:topLinePunct/>
        <w:ind w:firstLine="478" w:firstLineChars="170"/>
        <w:jc w:val="left"/>
        <w:rPr>
          <w:rFonts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五、课程内容与要求</w:t>
      </w:r>
    </w:p>
    <w:tbl>
      <w:tblPr>
        <w:tblStyle w:val="7"/>
        <w:tblW w:w="0" w:type="auto"/>
        <w:tblInd w:w="1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6"/>
        <w:gridCol w:w="1588"/>
        <w:gridCol w:w="4820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1106" w:type="dxa"/>
            <w:vAlign w:val="center"/>
          </w:tcPr>
          <w:p>
            <w:pPr>
              <w:widowControl/>
              <w:topLinePunct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模块</w:t>
            </w:r>
          </w:p>
        </w:tc>
        <w:tc>
          <w:tcPr>
            <w:tcW w:w="1588" w:type="dxa"/>
            <w:vAlign w:val="center"/>
          </w:tcPr>
          <w:p>
            <w:pPr>
              <w:widowControl/>
              <w:topLinePunct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教学单元</w:t>
            </w:r>
          </w:p>
        </w:tc>
        <w:tc>
          <w:tcPr>
            <w:tcW w:w="4820" w:type="dxa"/>
            <w:vAlign w:val="center"/>
          </w:tcPr>
          <w:p>
            <w:pPr>
              <w:widowControl/>
              <w:topLinePunct/>
              <w:ind w:left="241" w:hanging="241" w:hangingChars="100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内容及要求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topLinePunct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参考学时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06" w:type="dxa"/>
            <w:vMerge w:val="restart"/>
            <w:vAlign w:val="center"/>
          </w:tcPr>
          <w:p>
            <w:pPr>
              <w:widowControl/>
              <w:topLinePunct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金属切削加工基础</w:t>
            </w:r>
          </w:p>
        </w:tc>
        <w:tc>
          <w:tcPr>
            <w:tcW w:w="1588" w:type="dxa"/>
            <w:vAlign w:val="center"/>
          </w:tcPr>
          <w:p>
            <w:pPr>
              <w:widowControl/>
              <w:topLinePunct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切削运动与切削要素</w:t>
            </w:r>
          </w:p>
        </w:tc>
        <w:tc>
          <w:tcPr>
            <w:tcW w:w="4820" w:type="dxa"/>
            <w:vAlign w:val="center"/>
          </w:tcPr>
          <w:p>
            <w:pPr>
              <w:pStyle w:val="18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1.掌握切削运动的概念和组成，理解已加工表面、待加工表面和过渡面的关系；</w:t>
            </w:r>
          </w:p>
          <w:p>
            <w:pPr>
              <w:pStyle w:val="18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2.掌握切削三要素的定义和常用单位；</w:t>
            </w:r>
          </w:p>
          <w:p>
            <w:pPr>
              <w:pStyle w:val="18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3.了解切削三要素对切削效率、切削力、切削温度、加工表面粗糙度、刀具寿命的影响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overflowPunct w:val="0"/>
              <w:topLinePunct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06" w:type="dxa"/>
            <w:vMerge w:val="continue"/>
            <w:vAlign w:val="center"/>
          </w:tcPr>
          <w:p>
            <w:pPr>
              <w:widowControl/>
              <w:topLinePunct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88" w:type="dxa"/>
            <w:vAlign w:val="center"/>
          </w:tcPr>
          <w:p>
            <w:pPr>
              <w:widowControl/>
              <w:topLinePunct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刀具材料及选用</w:t>
            </w:r>
          </w:p>
        </w:tc>
        <w:tc>
          <w:tcPr>
            <w:tcW w:w="4820" w:type="dxa"/>
            <w:vAlign w:val="center"/>
          </w:tcPr>
          <w:p>
            <w:pPr>
              <w:pStyle w:val="18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1.了解评价刀具材料的主要性能指标，如硬度、韧性、热稳定性和抗磨性等；</w:t>
            </w:r>
          </w:p>
          <w:p>
            <w:pPr>
              <w:pStyle w:val="18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2.掌握普通高速钢、YG类和YT类硬质合金钢刀具材料性能和适用范围，了解以上刀具材料牌号含义；</w:t>
            </w:r>
          </w:p>
          <w:p>
            <w:pPr>
              <w:pStyle w:val="18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3.会根据应用场合选用合适的刀具材料；</w:t>
            </w:r>
          </w:p>
          <w:p>
            <w:pPr>
              <w:pStyle w:val="18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4.了解陶瓷、金刚石、立方氮化硼等新型刀具材料及其适用场合，了解刀具涂层的作用和常用涂层材料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overflowPunct w:val="0"/>
              <w:topLinePunct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06" w:type="dxa"/>
            <w:vMerge w:val="restart"/>
            <w:vAlign w:val="center"/>
          </w:tcPr>
          <w:p>
            <w:pPr>
              <w:widowControl/>
              <w:topLinePunct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金属切削机床及其应用</w:t>
            </w:r>
          </w:p>
        </w:tc>
        <w:tc>
          <w:tcPr>
            <w:tcW w:w="1588" w:type="dxa"/>
            <w:vAlign w:val="center"/>
          </w:tcPr>
          <w:p>
            <w:pPr>
              <w:topLinePunct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金属切削机床</w:t>
            </w:r>
          </w:p>
        </w:tc>
        <w:tc>
          <w:tcPr>
            <w:tcW w:w="4820" w:type="dxa"/>
            <w:vAlign w:val="center"/>
          </w:tcPr>
          <w:p>
            <w:pPr>
              <w:pStyle w:val="18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1.掌握金属切削机床的基本概念；</w:t>
            </w:r>
          </w:p>
          <w:p>
            <w:pPr>
              <w:pStyle w:val="18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2.了解金属切削机床的分类方法及常见类型；</w:t>
            </w:r>
          </w:p>
          <w:p>
            <w:pPr>
              <w:pStyle w:val="18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3.能通过机床型号判断车床、铣床、钻床、磨床、刨床等常见的切削机床，能读懂车床、铣床型号中的主要机床参数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overflowPunct w:val="0"/>
              <w:topLinePunct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06" w:type="dxa"/>
            <w:vMerge w:val="continue"/>
            <w:vAlign w:val="center"/>
          </w:tcPr>
          <w:p>
            <w:pPr>
              <w:widowControl/>
              <w:topLinePunct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88" w:type="dxa"/>
            <w:vAlign w:val="center"/>
          </w:tcPr>
          <w:p>
            <w:pPr>
              <w:topLinePunct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车床及其应用</w:t>
            </w:r>
          </w:p>
        </w:tc>
        <w:tc>
          <w:tcPr>
            <w:tcW w:w="4820" w:type="dxa"/>
            <w:vAlign w:val="center"/>
          </w:tcPr>
          <w:p>
            <w:pPr>
              <w:pStyle w:val="18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1.了解车床的种类及其结构部件组成，能认识车床的床身（导轨）、主轴箱、进给箱、溜板箱和刀架等，并理解其功能；</w:t>
            </w:r>
          </w:p>
          <w:p>
            <w:pPr>
              <w:pStyle w:val="18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2.掌握车床的加工特点和应用范围；</w:t>
            </w:r>
          </w:p>
          <w:p>
            <w:pPr>
              <w:pStyle w:val="18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3.熟悉外圆车刀、端面车刀、切槽刀、切断刀和螺纹车刀等常见车刀类型，了解这些刀具的特点及应用场合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overflowPunct w:val="0"/>
              <w:topLinePunct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06" w:type="dxa"/>
            <w:vMerge w:val="continue"/>
            <w:vAlign w:val="center"/>
          </w:tcPr>
          <w:p>
            <w:pPr>
              <w:widowControl/>
              <w:topLinePunct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88" w:type="dxa"/>
            <w:vAlign w:val="center"/>
          </w:tcPr>
          <w:p>
            <w:pPr>
              <w:topLinePunct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车削加工</w:t>
            </w:r>
          </w:p>
        </w:tc>
        <w:tc>
          <w:tcPr>
            <w:tcW w:w="4820" w:type="dxa"/>
            <w:vAlign w:val="center"/>
          </w:tcPr>
          <w:p>
            <w:pPr>
              <w:pStyle w:val="18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1.掌握自定心三爪卡盘的装夹方法</w:t>
            </w:r>
            <w:r>
              <w:rPr>
                <w:rFonts w:hint="eastAsia" w:ascii="宋体" w:hAnsi="宋体" w:cs="宋体"/>
                <w:spacing w:val="-4"/>
                <w:sz w:val="24"/>
                <w:szCs w:val="24"/>
                <w:lang w:eastAsia="zh-CN"/>
              </w:rPr>
              <w:t>，以及</w:t>
            </w: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 xml:space="preserve">卧式车床车刀的安装方法，了解卧式车床尾座的功用； </w:t>
            </w:r>
          </w:p>
          <w:p>
            <w:pPr>
              <w:pStyle w:val="18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 xml:space="preserve">2.掌握常见的外圆、端面、圆锥面、槽等型面的车削加工方法； </w:t>
            </w:r>
          </w:p>
          <w:p>
            <w:pPr>
              <w:pStyle w:val="18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3.能正确使用游标卡尺对车削类零件测量；</w:t>
            </w:r>
          </w:p>
          <w:p>
            <w:pPr>
              <w:pStyle w:val="18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4.会根据车削加工要求选择合适的刀具和工装夹具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widowControl/>
              <w:overflowPunct w:val="0"/>
              <w:topLinePunct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06" w:type="dxa"/>
            <w:vMerge w:val="continue"/>
            <w:vAlign w:val="center"/>
          </w:tcPr>
          <w:p>
            <w:pPr>
              <w:widowControl/>
              <w:topLinePunct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88" w:type="dxa"/>
            <w:vAlign w:val="center"/>
          </w:tcPr>
          <w:p>
            <w:pPr>
              <w:topLinePunct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铣床及其应用</w:t>
            </w:r>
          </w:p>
        </w:tc>
        <w:tc>
          <w:tcPr>
            <w:tcW w:w="4820" w:type="dxa"/>
            <w:vAlign w:val="center"/>
          </w:tcPr>
          <w:p>
            <w:pPr>
              <w:pStyle w:val="18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1.了解铣床的种类和结构组成，能区分立式、卧式铣床，认识铣床的床身（导轨）、主轴箱、进给箱、工作台等，并理解其功能；</w:t>
            </w:r>
          </w:p>
          <w:p>
            <w:pPr>
              <w:pStyle w:val="18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 xml:space="preserve">2.掌握铣床的加工特点及应用范围； </w:t>
            </w:r>
          </w:p>
          <w:p>
            <w:pPr>
              <w:pStyle w:val="18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3.能认识键槽铣刀、立铣刀、盘铣刀等常见铣刀类型，了解这些刀具的特点及应用场合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overflowPunct w:val="0"/>
              <w:topLinePunct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06" w:type="dxa"/>
            <w:vMerge w:val="continue"/>
            <w:vAlign w:val="center"/>
          </w:tcPr>
          <w:p>
            <w:pPr>
              <w:widowControl/>
              <w:topLinePunct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88" w:type="dxa"/>
            <w:vAlign w:val="center"/>
          </w:tcPr>
          <w:p>
            <w:pPr>
              <w:topLinePunct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铣削加工</w:t>
            </w:r>
          </w:p>
        </w:tc>
        <w:tc>
          <w:tcPr>
            <w:tcW w:w="4820" w:type="dxa"/>
            <w:vAlign w:val="center"/>
          </w:tcPr>
          <w:p>
            <w:pPr>
              <w:pStyle w:val="18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1.了解立式铣床刀具的安装方式</w:t>
            </w:r>
            <w:r>
              <w:rPr>
                <w:rFonts w:hint="eastAsia" w:ascii="宋体" w:hAnsi="宋体" w:cs="宋体"/>
                <w:spacing w:val="-4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常见刀柄形式和安装方法</w:t>
            </w:r>
            <w:r>
              <w:rPr>
                <w:rFonts w:hint="eastAsia" w:ascii="宋体" w:hAnsi="宋体" w:cs="宋体"/>
                <w:spacing w:val="-4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解铣削加工中常见的工件装夹方式，</w:t>
            </w:r>
            <w:r>
              <w:rPr>
                <w:rFonts w:hint="eastAsia" w:ascii="宋体" w:hAnsi="宋体" w:cs="宋体"/>
                <w:spacing w:val="-4"/>
                <w:sz w:val="24"/>
                <w:szCs w:val="24"/>
                <w:lang w:eastAsia="zh-CN"/>
              </w:rPr>
              <w:t>以及</w:t>
            </w: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 xml:space="preserve">精密平口钳的结构和使用方法； </w:t>
            </w:r>
          </w:p>
          <w:p>
            <w:pPr>
              <w:pStyle w:val="18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2.掌握铣削加工中顺铣与逆铣概念，理解两种铣削方法的特点；</w:t>
            </w:r>
          </w:p>
          <w:p>
            <w:pPr>
              <w:pStyle w:val="18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3.能正确使用游标卡尺对铣削类零件测量；</w:t>
            </w:r>
          </w:p>
          <w:p>
            <w:pPr>
              <w:pStyle w:val="18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4.会根据铣削加工要求选择合适的刀具和工装夹具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overflowPunct w:val="0"/>
              <w:topLinePunct/>
              <w:jc w:val="center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06" w:type="dxa"/>
            <w:vMerge w:val="continue"/>
            <w:vAlign w:val="center"/>
          </w:tcPr>
          <w:p>
            <w:pPr>
              <w:widowControl/>
              <w:topLinePunct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88" w:type="dxa"/>
            <w:vAlign w:val="center"/>
          </w:tcPr>
          <w:p>
            <w:pPr>
              <w:topLinePunct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钻床及其应用</w:t>
            </w:r>
          </w:p>
        </w:tc>
        <w:tc>
          <w:tcPr>
            <w:tcW w:w="4820" w:type="dxa"/>
            <w:vAlign w:val="center"/>
          </w:tcPr>
          <w:p>
            <w:pPr>
              <w:pStyle w:val="18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1.认识台钻、立钻、摇臂钻等典型钻床；</w:t>
            </w:r>
          </w:p>
          <w:p>
            <w:pPr>
              <w:pStyle w:val="18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2.了解台钻、立钻和摇臂钻床的加工特点及适用范围；</w:t>
            </w:r>
          </w:p>
          <w:p>
            <w:pPr>
              <w:pStyle w:val="18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3.熟悉普通麻花钻的结构与应用，了解中心钻、深孔钻、平底钻等其它类型钻头，掌握钻夹头的正确使用方法</w:t>
            </w:r>
          </w:p>
        </w:tc>
        <w:tc>
          <w:tcPr>
            <w:tcW w:w="709" w:type="dxa"/>
            <w:vAlign w:val="center"/>
          </w:tcPr>
          <w:p>
            <w:pPr>
              <w:overflowPunct w:val="0"/>
              <w:topLinePunct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06" w:type="dxa"/>
            <w:vMerge w:val="continue"/>
            <w:vAlign w:val="center"/>
          </w:tcPr>
          <w:p>
            <w:pPr>
              <w:widowControl/>
              <w:topLinePunct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88" w:type="dxa"/>
            <w:vAlign w:val="center"/>
          </w:tcPr>
          <w:p>
            <w:pPr>
              <w:topLinePunct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其他孔加工方法及刀具</w:t>
            </w:r>
          </w:p>
        </w:tc>
        <w:tc>
          <w:tcPr>
            <w:tcW w:w="4820" w:type="dxa"/>
            <w:vAlign w:val="center"/>
          </w:tcPr>
          <w:p>
            <w:pPr>
              <w:pStyle w:val="18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1.了解常见其他孔加工方法；</w:t>
            </w:r>
          </w:p>
          <w:p>
            <w:pPr>
              <w:pStyle w:val="18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2.了解扩、铰、锪等</w:t>
            </w:r>
            <w:r>
              <w:rPr>
                <w:rFonts w:hint="eastAsia" w:ascii="宋体" w:hAnsi="宋体" w:cs="宋体"/>
                <w:spacing w:val="-4"/>
                <w:sz w:val="24"/>
                <w:szCs w:val="24"/>
                <w:lang w:eastAsia="zh-CN"/>
              </w:rPr>
              <w:t>其他</w:t>
            </w: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孔加工刀具的类型及其应用；</w:t>
            </w:r>
          </w:p>
          <w:p>
            <w:pPr>
              <w:pStyle w:val="18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3.能根据孔加工要求选择合适的刀具、工装，编排简单孔加工方案</w:t>
            </w:r>
          </w:p>
        </w:tc>
        <w:tc>
          <w:tcPr>
            <w:tcW w:w="709" w:type="dxa"/>
            <w:vAlign w:val="center"/>
          </w:tcPr>
          <w:p>
            <w:pPr>
              <w:overflowPunct w:val="0"/>
              <w:topLinePunct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06" w:type="dxa"/>
            <w:vMerge w:val="continue"/>
            <w:vAlign w:val="center"/>
          </w:tcPr>
          <w:p>
            <w:pPr>
              <w:topLinePunct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88" w:type="dxa"/>
            <w:vAlign w:val="center"/>
          </w:tcPr>
          <w:p>
            <w:pPr>
              <w:topLinePunct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其他切削机床及其应用</w:t>
            </w:r>
          </w:p>
        </w:tc>
        <w:tc>
          <w:tcPr>
            <w:tcW w:w="4820" w:type="dxa"/>
            <w:tcBorders>
              <w:bottom w:val="single" w:color="auto" w:sz="4" w:space="0"/>
            </w:tcBorders>
            <w:vAlign w:val="center"/>
          </w:tcPr>
          <w:p>
            <w:pPr>
              <w:pStyle w:val="18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1.了解刨床、插床、拉床、磨床、镗床的加工特点和适用场合；</w:t>
            </w:r>
          </w:p>
          <w:p>
            <w:pPr>
              <w:pStyle w:val="18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2.了解刨床、插床、拉床、磨床、镗床的刀具特征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overflowPunct w:val="0"/>
              <w:topLinePunct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06" w:type="dxa"/>
            <w:vMerge w:val="continue"/>
            <w:vAlign w:val="center"/>
          </w:tcPr>
          <w:p>
            <w:pPr>
              <w:topLinePunct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88" w:type="dxa"/>
            <w:vAlign w:val="center"/>
          </w:tcPr>
          <w:p>
            <w:pPr>
              <w:topLinePunct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数控机床及其应用</w:t>
            </w:r>
          </w:p>
        </w:tc>
        <w:tc>
          <w:tcPr>
            <w:tcW w:w="4820" w:type="dxa"/>
            <w:tcBorders>
              <w:bottom w:val="single" w:color="auto" w:sz="4" w:space="0"/>
            </w:tcBorders>
            <w:vAlign w:val="center"/>
          </w:tcPr>
          <w:p>
            <w:pPr>
              <w:pStyle w:val="18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1.掌握数控机床、数控技术等基本概念；</w:t>
            </w:r>
          </w:p>
          <w:p>
            <w:pPr>
              <w:pStyle w:val="18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 xml:space="preserve">2.掌握数控机床的基本组成； </w:t>
            </w:r>
          </w:p>
          <w:p>
            <w:pPr>
              <w:pStyle w:val="18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3.了解数控机床的常见分类；</w:t>
            </w:r>
          </w:p>
          <w:p>
            <w:pPr>
              <w:pStyle w:val="18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4.理解数控机床的加工特点和适用范围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overflowPunct w:val="0"/>
              <w:topLinePunct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06" w:type="dxa"/>
            <w:vMerge w:val="restart"/>
            <w:vAlign w:val="center"/>
          </w:tcPr>
          <w:p>
            <w:pPr>
              <w:topLinePunct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零件的生产过程的基础知识</w:t>
            </w:r>
          </w:p>
        </w:tc>
        <w:tc>
          <w:tcPr>
            <w:tcW w:w="1588" w:type="dxa"/>
            <w:vAlign w:val="center"/>
          </w:tcPr>
          <w:p>
            <w:pPr>
              <w:topLinePunct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生产过程及工艺文件</w:t>
            </w:r>
          </w:p>
        </w:tc>
        <w:tc>
          <w:tcPr>
            <w:tcW w:w="4820" w:type="dxa"/>
            <w:tcBorders>
              <w:bottom w:val="single" w:color="auto" w:sz="4" w:space="0"/>
            </w:tcBorders>
            <w:vAlign w:val="center"/>
          </w:tcPr>
          <w:p>
            <w:pPr>
              <w:pStyle w:val="18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1.了解</w:t>
            </w:r>
            <w:r>
              <w:rPr>
                <w:rFonts w:hint="eastAsia" w:ascii="宋体" w:hAnsi="宋体" w:cs="宋体"/>
                <w:spacing w:val="-4"/>
                <w:sz w:val="24"/>
                <w:szCs w:val="24"/>
                <w:lang w:eastAsia="zh-CN"/>
              </w:rPr>
              <w:t>零件</w:t>
            </w: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生产过程、生产类型的概念；</w:t>
            </w:r>
          </w:p>
          <w:p>
            <w:pPr>
              <w:pStyle w:val="18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2.知道常见零件加工工艺文件的类型和应用；能识读简单零件加工工艺卡片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overflowPunct w:val="0"/>
              <w:topLinePunct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06" w:type="dxa"/>
            <w:vMerge w:val="continue"/>
            <w:vAlign w:val="center"/>
          </w:tcPr>
          <w:p>
            <w:pPr>
              <w:widowControl/>
              <w:topLinePunct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88" w:type="dxa"/>
            <w:vAlign w:val="center"/>
          </w:tcPr>
          <w:p>
            <w:pPr>
              <w:topLinePunct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表面加工</w:t>
            </w:r>
          </w:p>
        </w:tc>
        <w:tc>
          <w:tcPr>
            <w:tcW w:w="4820" w:type="dxa"/>
            <w:vAlign w:val="center"/>
          </w:tcPr>
          <w:p>
            <w:pPr>
              <w:pStyle w:val="18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1.熟悉常见零件表面的加工方法；</w:t>
            </w:r>
          </w:p>
          <w:p>
            <w:pPr>
              <w:pStyle w:val="18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2.能根据零件类型、加工表面类型和技术要求，选择合适的加工方法和切削机床</w:t>
            </w:r>
          </w:p>
        </w:tc>
        <w:tc>
          <w:tcPr>
            <w:tcW w:w="709" w:type="dxa"/>
            <w:vAlign w:val="center"/>
          </w:tcPr>
          <w:p>
            <w:pPr>
              <w:overflowPunct w:val="0"/>
              <w:topLinePunct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06" w:type="dxa"/>
            <w:vMerge w:val="continue"/>
            <w:vAlign w:val="center"/>
          </w:tcPr>
          <w:p>
            <w:pPr>
              <w:widowControl/>
              <w:topLinePunct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88" w:type="dxa"/>
            <w:vAlign w:val="center"/>
          </w:tcPr>
          <w:p>
            <w:pPr>
              <w:topLinePunct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零件的加工方案</w:t>
            </w:r>
          </w:p>
        </w:tc>
        <w:tc>
          <w:tcPr>
            <w:tcW w:w="4820" w:type="dxa"/>
            <w:tcBorders>
              <w:bottom w:val="single" w:color="auto" w:sz="4" w:space="0"/>
            </w:tcBorders>
            <w:vAlign w:val="center"/>
          </w:tcPr>
          <w:p>
            <w:pPr>
              <w:pStyle w:val="18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1.了解典型切削表面的加工工艺特点，能分析和制订零件表面加工方案；</w:t>
            </w:r>
          </w:p>
          <w:p>
            <w:pPr>
              <w:pStyle w:val="18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2.能编制只包含车削或铣削一道工序的简单零件的加工方案；</w:t>
            </w:r>
          </w:p>
          <w:p>
            <w:pPr>
              <w:pStyle w:val="18"/>
              <w:widowControl w:val="0"/>
              <w:adjustRightInd/>
              <w:snapToGrid/>
              <w:ind w:left="232" w:hanging="232" w:hangingChars="100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</w:rPr>
              <w:t>3.能识读既包含车削工序又包含铣削工序的典型零件的加工方案</w:t>
            </w:r>
          </w:p>
        </w:tc>
        <w:tc>
          <w:tcPr>
            <w:tcW w:w="709" w:type="dxa"/>
            <w:vAlign w:val="center"/>
          </w:tcPr>
          <w:p>
            <w:pPr>
              <w:overflowPunct w:val="0"/>
              <w:topLinePunct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</w:tr>
    </w:tbl>
    <w:p>
      <w:pPr>
        <w:widowControl/>
        <w:topLinePunct/>
        <w:ind w:firstLine="478" w:firstLineChars="170"/>
        <w:jc w:val="left"/>
        <w:rPr>
          <w:rFonts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六、实施建议</w:t>
      </w:r>
    </w:p>
    <w:p>
      <w:pPr>
        <w:widowControl/>
        <w:topLinePunct/>
        <w:ind w:firstLine="480" w:firstLineChars="200"/>
        <w:jc w:val="left"/>
        <w:rPr>
          <w:rFonts w:ascii="宋体" w:hAnsi="宋体" w:cs="宋体"/>
          <w:b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（一）</w:t>
      </w:r>
      <w:r>
        <w:rPr>
          <w:rFonts w:hint="eastAsia" w:ascii="宋体" w:hAnsi="宋体" w:cs="宋体"/>
          <w:b/>
          <w:kern w:val="0"/>
          <w:sz w:val="24"/>
        </w:rPr>
        <w:t>教学建议</w:t>
      </w:r>
    </w:p>
    <w:p>
      <w:pPr>
        <w:topLinePunct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1.</w:t>
      </w:r>
      <w:r>
        <w:rPr>
          <w:rFonts w:hint="eastAsia" w:ascii="宋体" w:hAnsi="宋体" w:cs="宋体"/>
          <w:sz w:val="24"/>
        </w:rPr>
        <w:t>坚持为党育人、为国育才的教育理念，结合机械加工相关基础知识与日常生活常识，挖掘课程思政元素，积极开展课程思政教育，</w:t>
      </w:r>
      <w:r>
        <w:rPr>
          <w:rFonts w:ascii="宋体" w:hAnsi="宋体"/>
          <w:sz w:val="24"/>
        </w:rPr>
        <w:t>将立德树人贯穿于课程实施全过程</w:t>
      </w:r>
      <w:r>
        <w:rPr>
          <w:rFonts w:hint="eastAsia" w:ascii="宋体" w:hAnsi="宋体"/>
          <w:sz w:val="24"/>
        </w:rPr>
        <w:t>。</w:t>
      </w:r>
    </w:p>
    <w:p>
      <w:pPr>
        <w:topLinePunct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 w:cs="宋体"/>
          <w:sz w:val="24"/>
        </w:rPr>
        <w:t>2.坚持学生为中心，采用项目引领、任务驱动的教学方法，</w:t>
      </w:r>
      <w:r>
        <w:rPr>
          <w:rFonts w:hint="eastAsia" w:ascii="宋体" w:hAnsi="宋体"/>
          <w:sz w:val="24"/>
        </w:rPr>
        <w:t>引入真实生产项目，创设教学情境，将典型零件加工任务作为教学载体，贯穿整个课程教学，将抽象分散的教学内容具体化、关联化，充分</w:t>
      </w:r>
      <w:r>
        <w:rPr>
          <w:rFonts w:hint="eastAsia" w:ascii="宋体" w:hAnsi="宋体" w:cs="宋体"/>
          <w:sz w:val="24"/>
        </w:rPr>
        <w:t>激发学生的学习兴趣，提高学生的学习效率</w:t>
      </w:r>
      <w:r>
        <w:rPr>
          <w:rFonts w:hint="eastAsia" w:ascii="宋体" w:hAnsi="宋体"/>
          <w:sz w:val="24"/>
        </w:rPr>
        <w:t>。</w:t>
      </w:r>
    </w:p>
    <w:p>
      <w:pPr>
        <w:topLinePunct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bCs/>
          <w:sz w:val="24"/>
        </w:rPr>
        <w:t>课程教学应围绕不同的切削加工类型，将机床、刀具、工装、工艺等知识衔接串联，</w:t>
      </w:r>
      <w:r>
        <w:rPr>
          <w:rFonts w:hint="eastAsia" w:ascii="宋体" w:hAnsi="宋体"/>
          <w:sz w:val="24"/>
        </w:rPr>
        <w:t>广泛使用多媒体技术、虚拟仿真技术和网络技术，</w:t>
      </w:r>
      <w:r>
        <w:rPr>
          <w:rFonts w:hint="eastAsia" w:ascii="宋体" w:hAnsi="宋体"/>
          <w:bCs/>
          <w:sz w:val="24"/>
        </w:rPr>
        <w:t>帮助学生对知识的理解和掌握</w:t>
      </w:r>
      <w:r>
        <w:rPr>
          <w:rFonts w:hint="eastAsia" w:ascii="宋体" w:hAnsi="宋体"/>
          <w:sz w:val="24"/>
        </w:rPr>
        <w:t>，任课教师</w:t>
      </w:r>
      <w:r>
        <w:rPr>
          <w:rFonts w:hint="eastAsia" w:ascii="宋体" w:hAnsi="宋体"/>
          <w:bCs/>
          <w:sz w:val="24"/>
        </w:rPr>
        <w:t>应不断</w:t>
      </w:r>
      <w:r>
        <w:rPr>
          <w:rFonts w:hint="eastAsia" w:ascii="宋体" w:hAnsi="宋体"/>
          <w:sz w:val="24"/>
        </w:rPr>
        <w:t>加强专业交流和企业研修，提升</w:t>
      </w:r>
      <w:r>
        <w:rPr>
          <w:rFonts w:hint="eastAsia" w:ascii="宋体" w:hAnsi="宋体"/>
          <w:bCs/>
          <w:sz w:val="24"/>
        </w:rPr>
        <w:t>专业素养</w:t>
      </w:r>
      <w:r>
        <w:rPr>
          <w:rFonts w:hint="eastAsia" w:ascii="宋体" w:hAnsi="宋体"/>
          <w:sz w:val="24"/>
        </w:rPr>
        <w:t>。</w:t>
      </w:r>
    </w:p>
    <w:p>
      <w:pPr>
        <w:widowControl/>
        <w:topLinePunct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4.教学组织应根据教学内容，采用分组教学和集中教学相结合的形式，培养学生自主学习、协作学习的能力。</w:t>
      </w:r>
    </w:p>
    <w:p>
      <w:pPr>
        <w:widowControl/>
        <w:topLinePunct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5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通过模拟企业生产场景和工作流程，将岗位工作任务与职业能力渗透到课程教学内容中，培养学生良好的职业素养和职业习惯。</w:t>
      </w:r>
    </w:p>
    <w:p>
      <w:pPr>
        <w:widowControl/>
        <w:topLinePunct/>
        <w:ind w:firstLine="482" w:firstLineChars="200"/>
        <w:jc w:val="left"/>
        <w:rPr>
          <w:rFonts w:ascii="宋体" w:hAnsi="宋体" w:cs="宋体"/>
          <w:b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</w:rPr>
        <w:t>（二）评价建议</w:t>
      </w:r>
    </w:p>
    <w:p>
      <w:pPr>
        <w:topLinePunct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树立正确的教学质量观，重视学生协作能力和创新能力的培养与评价，充分关注学生的个性差异，突出评价的教育功能，建议由教师、学生及企业人员多元参与，根据不同的教学内容选择合适的评价方式，形成综合评价。</w:t>
      </w:r>
    </w:p>
    <w:p>
      <w:pPr>
        <w:topLinePunct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2.对理论性较强的知识，可采用结果性评价，对实践性较强的学习项目，宜</w:t>
      </w:r>
      <w:r>
        <w:rPr>
          <w:rFonts w:ascii="宋体" w:hAnsi="宋体"/>
          <w:sz w:val="24"/>
        </w:rPr>
        <w:t>采用过程性</w:t>
      </w:r>
      <w:r>
        <w:rPr>
          <w:rFonts w:hint="eastAsia" w:ascii="宋体" w:hAnsi="宋体"/>
          <w:sz w:val="24"/>
        </w:rPr>
        <w:t>评价，过程性评价的内容包括技能操作的熟练程度、任务的完成质量、操作的规范性、问题的处理能力、团队合作和安全环保的执行情况等。</w:t>
      </w:r>
    </w:p>
    <w:p>
      <w:pPr>
        <w:topLinePunct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3.应将评价结果及时、客观地向学生反馈，指出被评价者需要改进的方面，师生共同商讨改进的途径和方法，调动和激发学生的学习积极性。</w:t>
      </w:r>
    </w:p>
    <w:p>
      <w:pPr>
        <w:widowControl/>
        <w:topLinePunct/>
        <w:ind w:firstLine="482" w:firstLineChars="200"/>
        <w:jc w:val="left"/>
        <w:rPr>
          <w:rFonts w:ascii="宋体" w:hAnsi="宋体" w:cs="宋体"/>
          <w:b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</w:rPr>
        <w:t>（三）教材编写和选用建议</w:t>
      </w:r>
    </w:p>
    <w:p>
      <w:pPr>
        <w:topLinePunct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1.教材编写与选用必须依据本课程标准。</w:t>
      </w:r>
    </w:p>
    <w:p>
      <w:pPr>
        <w:topLinePunct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2.教材编写应以学生活动为中心，由学校与行业、企业合作开发，并为教师二次开发留有余地，为中高职衔接留有接口。</w:t>
      </w:r>
    </w:p>
    <w:p>
      <w:pPr>
        <w:topLinePunct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3.教材内容</w:t>
      </w:r>
      <w:r>
        <w:rPr>
          <w:rFonts w:hint="eastAsia" w:ascii="宋体" w:hAnsi="宋体" w:cs="宋体"/>
          <w:kern w:val="0"/>
          <w:sz w:val="24"/>
        </w:rPr>
        <w:t>应符合专业人才培养目标和专业相关技术领域职业岗位（群）的任职要求，围绕专业大类中的具体专业，充分考虑与前、后续课程的无缝衔接，编制更具针对性的教学内容。</w:t>
      </w:r>
    </w:p>
    <w:p>
      <w:pPr>
        <w:topLinePunct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4.教材的结构和呈现方式应符合学生年龄特征和学习特点，图文并茂</w:t>
      </w:r>
      <w:r>
        <w:rPr>
          <w:rFonts w:hint="eastAsia" w:ascii="宋体" w:hAnsi="宋体" w:cs="宋体"/>
          <w:kern w:val="0"/>
          <w:sz w:val="24"/>
        </w:rPr>
        <w:t>，形象生动</w:t>
      </w:r>
      <w:r>
        <w:rPr>
          <w:rFonts w:hint="eastAsia" w:ascii="宋体" w:hAnsi="宋体"/>
          <w:sz w:val="24"/>
        </w:rPr>
        <w:t>，</w:t>
      </w:r>
      <w:r>
        <w:rPr>
          <w:rFonts w:hint="eastAsia" w:ascii="宋体" w:hAnsi="宋体"/>
          <w:sz w:val="24"/>
          <w:lang w:eastAsia="zh-CN"/>
        </w:rPr>
        <w:t>以</w:t>
      </w:r>
      <w:r>
        <w:rPr>
          <w:rFonts w:hint="eastAsia" w:ascii="宋体" w:hAnsi="宋体"/>
          <w:sz w:val="24"/>
        </w:rPr>
        <w:t>培养学生</w:t>
      </w:r>
      <w:r>
        <w:rPr>
          <w:rFonts w:hint="eastAsia" w:ascii="宋体" w:hAnsi="宋体"/>
          <w:sz w:val="24"/>
          <w:lang w:eastAsia="zh-CN"/>
        </w:rPr>
        <w:t>的</w:t>
      </w:r>
      <w:r>
        <w:rPr>
          <w:rFonts w:hint="eastAsia" w:ascii="宋体" w:hAnsi="宋体"/>
          <w:sz w:val="24"/>
        </w:rPr>
        <w:t>学习兴趣。</w:t>
      </w:r>
    </w:p>
    <w:p>
      <w:pPr>
        <w:widowControl/>
        <w:topLinePunct/>
        <w:ind w:firstLine="482" w:firstLineChars="200"/>
        <w:jc w:val="left"/>
        <w:rPr>
          <w:rFonts w:ascii="宋体" w:hAnsi="宋体" w:cs="宋体"/>
          <w:b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</w:rPr>
        <w:t>（四）课程资源开发与利用建议</w:t>
      </w:r>
    </w:p>
    <w:p>
      <w:pPr>
        <w:topLinePunct/>
        <w:ind w:firstLine="480" w:firstLineChars="20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>1.</w:t>
      </w:r>
      <w:r>
        <w:rPr>
          <w:rFonts w:hint="eastAsia" w:ascii="宋体" w:hAnsi="宋体" w:cs="宋体"/>
          <w:bCs/>
          <w:kern w:val="0"/>
          <w:sz w:val="24"/>
        </w:rPr>
        <w:t>课程资源开发应充分发挥现代信息技术优势，在借鉴、利用先进成熟的课程资源和教学平台基础上，积极开发数字化网络教学资源，专业工具书、电子读物、教学视频、仿真软件等教学资源，</w:t>
      </w:r>
      <w:r>
        <w:rPr>
          <w:rFonts w:hint="eastAsia" w:ascii="宋体" w:hAnsi="宋体" w:cs="宋体"/>
          <w:bCs/>
          <w:kern w:val="0"/>
          <w:sz w:val="24"/>
          <w:lang w:eastAsia="zh-CN"/>
        </w:rPr>
        <w:t>应</w:t>
      </w:r>
      <w:r>
        <w:rPr>
          <w:rFonts w:hint="eastAsia" w:ascii="宋体" w:hAnsi="宋体" w:cs="宋体"/>
          <w:bCs/>
          <w:kern w:val="0"/>
          <w:sz w:val="24"/>
        </w:rPr>
        <w:t>对学生充分开放，</w:t>
      </w:r>
      <w:r>
        <w:rPr>
          <w:rFonts w:hint="eastAsia" w:ascii="宋体" w:hAnsi="宋体" w:cs="宋体"/>
          <w:kern w:val="0"/>
          <w:sz w:val="24"/>
        </w:rPr>
        <w:t>培养学生自我探究、自主学习的能力。</w:t>
      </w:r>
    </w:p>
    <w:p>
      <w:pPr>
        <w:widowControl/>
        <w:topLinePunct/>
        <w:ind w:firstLine="480" w:firstLineChars="200"/>
        <w:jc w:val="left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/>
          <w:bCs/>
          <w:kern w:val="0"/>
          <w:sz w:val="24"/>
        </w:rPr>
        <w:t>2</w:t>
      </w:r>
      <w:r>
        <w:rPr>
          <w:rFonts w:hint="eastAsia" w:ascii="宋体" w:hAnsi="宋体" w:cs="宋体"/>
          <w:bCs/>
          <w:kern w:val="0"/>
          <w:sz w:val="24"/>
        </w:rPr>
        <w:t>.引入企业真实项目的过程性资源，如操作规程、零件图纸、工艺卡片、检测要求等，强化技能训练的真实性和规范性，提高教学效率和质量。</w:t>
      </w:r>
    </w:p>
    <w:p>
      <w:pPr>
        <w:widowControl/>
        <w:topLinePunct/>
        <w:ind w:firstLine="480" w:firstLineChars="200"/>
        <w:jc w:val="left"/>
        <w:rPr>
          <w:rFonts w:ascii="宋体" w:hAnsi="宋体" w:cs="宋体"/>
          <w:bCs/>
          <w:kern w:val="0"/>
          <w:sz w:val="24"/>
        </w:rPr>
      </w:pPr>
      <w:r>
        <w:rPr>
          <w:rFonts w:hint="eastAsia" w:ascii="宋体" w:hAnsi="宋体" w:cs="宋体"/>
          <w:bCs/>
          <w:kern w:val="0"/>
          <w:sz w:val="24"/>
        </w:rPr>
        <w:t>3</w:t>
      </w:r>
      <w:r>
        <w:rPr>
          <w:rFonts w:ascii="宋体" w:hAnsi="宋体" w:cs="宋体"/>
          <w:bCs/>
          <w:kern w:val="0"/>
          <w:sz w:val="24"/>
        </w:rPr>
        <w:t>.集约化</w:t>
      </w:r>
      <w:r>
        <w:rPr>
          <w:rFonts w:hint="eastAsia" w:ascii="宋体" w:hAnsi="宋体" w:cs="宋体"/>
          <w:bCs/>
          <w:kern w:val="0"/>
          <w:sz w:val="24"/>
        </w:rPr>
        <w:t>资源</w:t>
      </w:r>
      <w:r>
        <w:rPr>
          <w:rFonts w:ascii="宋体" w:hAnsi="宋体" w:cs="宋体"/>
          <w:bCs/>
          <w:kern w:val="0"/>
          <w:sz w:val="24"/>
        </w:rPr>
        <w:t>开发</w:t>
      </w:r>
      <w:r>
        <w:rPr>
          <w:rFonts w:hint="eastAsia" w:ascii="宋体" w:hAnsi="宋体" w:cs="宋体"/>
          <w:bCs/>
          <w:kern w:val="0"/>
          <w:sz w:val="24"/>
          <w:lang w:eastAsia="zh-CN"/>
        </w:rPr>
        <w:t>，</w:t>
      </w:r>
      <w:r>
        <w:rPr>
          <w:rFonts w:hint="eastAsia" w:ascii="宋体" w:hAnsi="宋体" w:cs="宋体"/>
          <w:bCs/>
          <w:kern w:val="0"/>
          <w:sz w:val="24"/>
        </w:rPr>
        <w:t>依托职教集团等合作平台，围绕本课程教学内容，协同平台内各成员的软硬件优质资源，共建共享教学平台，做精做优课程资源。</w:t>
      </w:r>
    </w:p>
    <w:p>
      <w:pPr>
        <w:widowControl/>
        <w:topLinePunct/>
        <w:ind w:firstLine="478" w:firstLineChars="170"/>
        <w:jc w:val="left"/>
        <w:rPr>
          <w:rFonts w:ascii="宋体" w:hAnsi="宋体" w:cs="宋体"/>
          <w:b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七、</w:t>
      </w:r>
      <w:bookmarkStart w:id="1" w:name="_GoBack"/>
      <w:bookmarkEnd w:id="1"/>
      <w:r>
        <w:rPr>
          <w:rFonts w:hint="eastAsia" w:ascii="宋体" w:hAnsi="宋体" w:cs="宋体"/>
          <w:b/>
          <w:kern w:val="0"/>
          <w:sz w:val="28"/>
          <w:szCs w:val="28"/>
        </w:rPr>
        <w:t>说明</w:t>
      </w:r>
    </w:p>
    <w:p>
      <w:pPr>
        <w:widowControl/>
        <w:topLinePunct/>
        <w:ind w:firstLine="480" w:firstLineChars="200"/>
        <w:jc w:val="left"/>
      </w:pPr>
      <w:r>
        <w:rPr>
          <w:rFonts w:hint="eastAsia" w:ascii="宋体" w:hAnsi="宋体" w:cs="宋体"/>
          <w:bCs/>
          <w:kern w:val="0"/>
          <w:sz w:val="24"/>
        </w:rPr>
        <w:t>本标准依据《</w:t>
      </w:r>
      <w:r>
        <w:rPr>
          <w:rFonts w:hint="eastAsia" w:ascii="宋体" w:hAnsi="宋体"/>
          <w:sz w:val="24"/>
        </w:rPr>
        <w:t>江苏省中等职业学校机械专业类课程指导方案</w:t>
      </w:r>
      <w:r>
        <w:rPr>
          <w:rFonts w:hint="eastAsia" w:ascii="宋体" w:hAnsi="宋体" w:cs="宋体"/>
          <w:bCs/>
          <w:kern w:val="0"/>
          <w:sz w:val="24"/>
        </w:rPr>
        <w:t>》编制，适用于江苏省中等职业学校</w:t>
      </w:r>
      <w:r>
        <w:rPr>
          <w:rFonts w:hint="eastAsia" w:ascii="宋体" w:hAnsi="宋体"/>
          <w:sz w:val="24"/>
        </w:rPr>
        <w:t>机械类各</w:t>
      </w:r>
      <w:r>
        <w:rPr>
          <w:rFonts w:hint="eastAsia" w:ascii="宋体" w:hAnsi="宋体" w:cs="宋体"/>
          <w:kern w:val="0"/>
          <w:sz w:val="24"/>
        </w:rPr>
        <w:t>专业</w:t>
      </w:r>
      <w:r>
        <w:rPr>
          <w:rFonts w:hint="eastAsia" w:ascii="宋体" w:hAnsi="宋体" w:cs="宋体"/>
          <w:bCs/>
          <w:kern w:val="0"/>
          <w:sz w:val="24"/>
        </w:rPr>
        <w:t>（三年制）学生</w:t>
      </w:r>
      <w:r>
        <w:rPr>
          <w:rFonts w:hint="eastAsia" w:ascii="宋体" w:hAnsi="宋体" w:cs="宋体"/>
          <w:kern w:val="0"/>
          <w:sz w:val="24"/>
        </w:rPr>
        <w:t>。</w:t>
      </w:r>
    </w:p>
    <w:p/>
    <w:p>
      <w:pPr>
        <w:ind w:firstLine="480" w:firstLineChars="200"/>
      </w:pPr>
      <w:r>
        <w:rPr>
          <w:rFonts w:ascii="楷体" w:hAnsi="楷体" w:eastAsia="楷体" w:cs="仿宋"/>
          <w:sz w:val="24"/>
          <w:szCs w:val="22"/>
        </w:rPr>
        <w:t>（</w:t>
      </w:r>
      <w:r>
        <w:rPr>
          <w:rFonts w:ascii="黑体" w:hAnsi="黑体" w:eastAsia="黑体" w:cs="仿宋"/>
          <w:sz w:val="24"/>
          <w:szCs w:val="22"/>
        </w:rPr>
        <w:t>开发人员及单位：</w:t>
      </w:r>
      <w:r>
        <w:rPr>
          <w:rFonts w:hint="eastAsia" w:ascii="楷体" w:hAnsi="楷体" w:eastAsia="楷体" w:cs="仿宋"/>
          <w:sz w:val="24"/>
          <w:szCs w:val="22"/>
        </w:rPr>
        <w:t>李松，江苏省江阴中等专业学校；朱军，无锡机电高等职业技术学校；周欣阳，常州刘国钧高等职业技术学校；周桂岐，江苏省海门中等专业学校；杨维忠，江苏省江阴中等专业学校；缪贤，江阴兴澄特种钢铁有限公司</w:t>
      </w:r>
      <w:r>
        <w:rPr>
          <w:rFonts w:ascii="楷体" w:hAnsi="楷体" w:eastAsia="楷体" w:cs="仿宋"/>
          <w:sz w:val="24"/>
          <w:szCs w:val="22"/>
        </w:rPr>
        <w:t>）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4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2557F"/>
    <w:rsid w:val="00002F54"/>
    <w:rsid w:val="00003315"/>
    <w:rsid w:val="00014CE5"/>
    <w:rsid w:val="000163D0"/>
    <w:rsid w:val="0002349D"/>
    <w:rsid w:val="0002557F"/>
    <w:rsid w:val="00033BB5"/>
    <w:rsid w:val="0003668C"/>
    <w:rsid w:val="00036ABC"/>
    <w:rsid w:val="00046383"/>
    <w:rsid w:val="00047A89"/>
    <w:rsid w:val="00050279"/>
    <w:rsid w:val="00051251"/>
    <w:rsid w:val="00071CD4"/>
    <w:rsid w:val="0007312C"/>
    <w:rsid w:val="000748C1"/>
    <w:rsid w:val="00083B8A"/>
    <w:rsid w:val="00086C4A"/>
    <w:rsid w:val="00097DE4"/>
    <w:rsid w:val="000A371F"/>
    <w:rsid w:val="000A4311"/>
    <w:rsid w:val="000A59D4"/>
    <w:rsid w:val="000D3F6D"/>
    <w:rsid w:val="000E17E1"/>
    <w:rsid w:val="000E53D0"/>
    <w:rsid w:val="000E730B"/>
    <w:rsid w:val="000F075A"/>
    <w:rsid w:val="000F7DBE"/>
    <w:rsid w:val="001061E6"/>
    <w:rsid w:val="00107F49"/>
    <w:rsid w:val="00111CF1"/>
    <w:rsid w:val="00113344"/>
    <w:rsid w:val="00127377"/>
    <w:rsid w:val="001278B4"/>
    <w:rsid w:val="00132802"/>
    <w:rsid w:val="00135BE8"/>
    <w:rsid w:val="00150B37"/>
    <w:rsid w:val="00153144"/>
    <w:rsid w:val="00161CB1"/>
    <w:rsid w:val="00163E68"/>
    <w:rsid w:val="00175F57"/>
    <w:rsid w:val="00181F07"/>
    <w:rsid w:val="001847B2"/>
    <w:rsid w:val="001B0106"/>
    <w:rsid w:val="001B26B7"/>
    <w:rsid w:val="001B28D4"/>
    <w:rsid w:val="001C2255"/>
    <w:rsid w:val="001D2C9C"/>
    <w:rsid w:val="001F1F6F"/>
    <w:rsid w:val="001F59D4"/>
    <w:rsid w:val="00200A29"/>
    <w:rsid w:val="00204CF6"/>
    <w:rsid w:val="00210582"/>
    <w:rsid w:val="0021170D"/>
    <w:rsid w:val="00217153"/>
    <w:rsid w:val="00217C2E"/>
    <w:rsid w:val="00224E82"/>
    <w:rsid w:val="00233B37"/>
    <w:rsid w:val="0024397A"/>
    <w:rsid w:val="0025252A"/>
    <w:rsid w:val="002568B1"/>
    <w:rsid w:val="002574F1"/>
    <w:rsid w:val="0026277B"/>
    <w:rsid w:val="00270315"/>
    <w:rsid w:val="002723AB"/>
    <w:rsid w:val="00274A3C"/>
    <w:rsid w:val="00292C7A"/>
    <w:rsid w:val="002936E8"/>
    <w:rsid w:val="00293F02"/>
    <w:rsid w:val="00294A16"/>
    <w:rsid w:val="002975B7"/>
    <w:rsid w:val="002A5517"/>
    <w:rsid w:val="002A5A07"/>
    <w:rsid w:val="002B6D36"/>
    <w:rsid w:val="002C22DA"/>
    <w:rsid w:val="002C2D28"/>
    <w:rsid w:val="002D0208"/>
    <w:rsid w:val="002D5CE7"/>
    <w:rsid w:val="002F709C"/>
    <w:rsid w:val="002F74BF"/>
    <w:rsid w:val="00304080"/>
    <w:rsid w:val="00306A17"/>
    <w:rsid w:val="00307A63"/>
    <w:rsid w:val="00310062"/>
    <w:rsid w:val="00311E93"/>
    <w:rsid w:val="003133C8"/>
    <w:rsid w:val="00324D83"/>
    <w:rsid w:val="00327CA5"/>
    <w:rsid w:val="00332DA5"/>
    <w:rsid w:val="00333BB9"/>
    <w:rsid w:val="003449B7"/>
    <w:rsid w:val="00344F20"/>
    <w:rsid w:val="003452B7"/>
    <w:rsid w:val="0035210E"/>
    <w:rsid w:val="0035409C"/>
    <w:rsid w:val="00361225"/>
    <w:rsid w:val="003618F1"/>
    <w:rsid w:val="00364AD8"/>
    <w:rsid w:val="00366B9A"/>
    <w:rsid w:val="00373A71"/>
    <w:rsid w:val="00375CF5"/>
    <w:rsid w:val="003767F3"/>
    <w:rsid w:val="00382340"/>
    <w:rsid w:val="0038251A"/>
    <w:rsid w:val="0038412B"/>
    <w:rsid w:val="003A62BE"/>
    <w:rsid w:val="003A6744"/>
    <w:rsid w:val="003C2905"/>
    <w:rsid w:val="003C52E6"/>
    <w:rsid w:val="003D101D"/>
    <w:rsid w:val="003D3626"/>
    <w:rsid w:val="003D662D"/>
    <w:rsid w:val="003E7EFE"/>
    <w:rsid w:val="003F093C"/>
    <w:rsid w:val="004001CC"/>
    <w:rsid w:val="00404379"/>
    <w:rsid w:val="0041187C"/>
    <w:rsid w:val="004255C6"/>
    <w:rsid w:val="004303E5"/>
    <w:rsid w:val="00430D6B"/>
    <w:rsid w:val="004351D8"/>
    <w:rsid w:val="00435F5B"/>
    <w:rsid w:val="00436222"/>
    <w:rsid w:val="00442907"/>
    <w:rsid w:val="004438CA"/>
    <w:rsid w:val="00443CCE"/>
    <w:rsid w:val="0045101A"/>
    <w:rsid w:val="00453E08"/>
    <w:rsid w:val="00474507"/>
    <w:rsid w:val="00474708"/>
    <w:rsid w:val="004801A0"/>
    <w:rsid w:val="004825C7"/>
    <w:rsid w:val="00485F64"/>
    <w:rsid w:val="004902CE"/>
    <w:rsid w:val="00491FB3"/>
    <w:rsid w:val="00493832"/>
    <w:rsid w:val="004961B2"/>
    <w:rsid w:val="0049626C"/>
    <w:rsid w:val="004A3610"/>
    <w:rsid w:val="004A5C7E"/>
    <w:rsid w:val="004B5903"/>
    <w:rsid w:val="004C3003"/>
    <w:rsid w:val="004D02F5"/>
    <w:rsid w:val="004D5626"/>
    <w:rsid w:val="004E38EB"/>
    <w:rsid w:val="004E3A4D"/>
    <w:rsid w:val="004E751E"/>
    <w:rsid w:val="004F1B9A"/>
    <w:rsid w:val="004F491B"/>
    <w:rsid w:val="004F53A7"/>
    <w:rsid w:val="00503B24"/>
    <w:rsid w:val="00505549"/>
    <w:rsid w:val="00520B72"/>
    <w:rsid w:val="00521632"/>
    <w:rsid w:val="0053127C"/>
    <w:rsid w:val="00535C55"/>
    <w:rsid w:val="0053615D"/>
    <w:rsid w:val="00541694"/>
    <w:rsid w:val="00554DE2"/>
    <w:rsid w:val="00555A30"/>
    <w:rsid w:val="00560804"/>
    <w:rsid w:val="00566078"/>
    <w:rsid w:val="0057247A"/>
    <w:rsid w:val="005724B3"/>
    <w:rsid w:val="00574117"/>
    <w:rsid w:val="005751D9"/>
    <w:rsid w:val="00580AC7"/>
    <w:rsid w:val="00593BF2"/>
    <w:rsid w:val="00597DF3"/>
    <w:rsid w:val="005A493F"/>
    <w:rsid w:val="005A4CCF"/>
    <w:rsid w:val="005A60DA"/>
    <w:rsid w:val="005B6AFF"/>
    <w:rsid w:val="005C3644"/>
    <w:rsid w:val="005C7438"/>
    <w:rsid w:val="005E10AD"/>
    <w:rsid w:val="005F2E2E"/>
    <w:rsid w:val="005F4EAE"/>
    <w:rsid w:val="005F5600"/>
    <w:rsid w:val="00601EDC"/>
    <w:rsid w:val="006057CA"/>
    <w:rsid w:val="00607347"/>
    <w:rsid w:val="006076C9"/>
    <w:rsid w:val="006104A0"/>
    <w:rsid w:val="00611155"/>
    <w:rsid w:val="00617C02"/>
    <w:rsid w:val="006247AE"/>
    <w:rsid w:val="00625572"/>
    <w:rsid w:val="006307D8"/>
    <w:rsid w:val="00636F41"/>
    <w:rsid w:val="0064298D"/>
    <w:rsid w:val="00643162"/>
    <w:rsid w:val="00643B69"/>
    <w:rsid w:val="00645782"/>
    <w:rsid w:val="00647373"/>
    <w:rsid w:val="0065393A"/>
    <w:rsid w:val="00653FE3"/>
    <w:rsid w:val="00655B8B"/>
    <w:rsid w:val="00662FA1"/>
    <w:rsid w:val="00677CC1"/>
    <w:rsid w:val="00690BAD"/>
    <w:rsid w:val="006A1088"/>
    <w:rsid w:val="006A2947"/>
    <w:rsid w:val="006A4740"/>
    <w:rsid w:val="006B1E5E"/>
    <w:rsid w:val="006C1355"/>
    <w:rsid w:val="006C3F86"/>
    <w:rsid w:val="006C76A6"/>
    <w:rsid w:val="006D5FBD"/>
    <w:rsid w:val="006E0060"/>
    <w:rsid w:val="006E178C"/>
    <w:rsid w:val="006E1F10"/>
    <w:rsid w:val="006F0C05"/>
    <w:rsid w:val="006F17EB"/>
    <w:rsid w:val="006F1C40"/>
    <w:rsid w:val="00707232"/>
    <w:rsid w:val="007122C8"/>
    <w:rsid w:val="00714692"/>
    <w:rsid w:val="007237C8"/>
    <w:rsid w:val="00727B25"/>
    <w:rsid w:val="00732A73"/>
    <w:rsid w:val="00732DCE"/>
    <w:rsid w:val="00732F7E"/>
    <w:rsid w:val="00734CA8"/>
    <w:rsid w:val="00735033"/>
    <w:rsid w:val="00735804"/>
    <w:rsid w:val="00737696"/>
    <w:rsid w:val="007412B2"/>
    <w:rsid w:val="0074300F"/>
    <w:rsid w:val="00746306"/>
    <w:rsid w:val="00746861"/>
    <w:rsid w:val="0075012B"/>
    <w:rsid w:val="007571A6"/>
    <w:rsid w:val="0075756C"/>
    <w:rsid w:val="007720BC"/>
    <w:rsid w:val="00781AEE"/>
    <w:rsid w:val="00787A03"/>
    <w:rsid w:val="00792635"/>
    <w:rsid w:val="00792C1B"/>
    <w:rsid w:val="00794029"/>
    <w:rsid w:val="007A1006"/>
    <w:rsid w:val="007A2846"/>
    <w:rsid w:val="007A3160"/>
    <w:rsid w:val="007B0CD3"/>
    <w:rsid w:val="007B0D77"/>
    <w:rsid w:val="007B57D0"/>
    <w:rsid w:val="007B7693"/>
    <w:rsid w:val="007C4689"/>
    <w:rsid w:val="007C5866"/>
    <w:rsid w:val="007C722E"/>
    <w:rsid w:val="007D30D7"/>
    <w:rsid w:val="007E3B66"/>
    <w:rsid w:val="007E3D6E"/>
    <w:rsid w:val="007E5B5F"/>
    <w:rsid w:val="007E6747"/>
    <w:rsid w:val="007E7897"/>
    <w:rsid w:val="007F7637"/>
    <w:rsid w:val="007F7AD2"/>
    <w:rsid w:val="00806233"/>
    <w:rsid w:val="00806EB8"/>
    <w:rsid w:val="008115F1"/>
    <w:rsid w:val="00812E2A"/>
    <w:rsid w:val="00816A31"/>
    <w:rsid w:val="00816C17"/>
    <w:rsid w:val="0083384F"/>
    <w:rsid w:val="0084317F"/>
    <w:rsid w:val="008432E5"/>
    <w:rsid w:val="0084375F"/>
    <w:rsid w:val="0084700A"/>
    <w:rsid w:val="008511DD"/>
    <w:rsid w:val="008605ED"/>
    <w:rsid w:val="00860827"/>
    <w:rsid w:val="00864F3E"/>
    <w:rsid w:val="00873046"/>
    <w:rsid w:val="00877135"/>
    <w:rsid w:val="00877AD1"/>
    <w:rsid w:val="00880C08"/>
    <w:rsid w:val="00883797"/>
    <w:rsid w:val="00886097"/>
    <w:rsid w:val="008913F0"/>
    <w:rsid w:val="00891E66"/>
    <w:rsid w:val="00892E38"/>
    <w:rsid w:val="00893967"/>
    <w:rsid w:val="008979F7"/>
    <w:rsid w:val="008A505D"/>
    <w:rsid w:val="008A65B3"/>
    <w:rsid w:val="008D3E03"/>
    <w:rsid w:val="008D6076"/>
    <w:rsid w:val="008E051F"/>
    <w:rsid w:val="008E3EE7"/>
    <w:rsid w:val="008F431A"/>
    <w:rsid w:val="00912806"/>
    <w:rsid w:val="00915450"/>
    <w:rsid w:val="00923E3C"/>
    <w:rsid w:val="00924011"/>
    <w:rsid w:val="009349F6"/>
    <w:rsid w:val="0094038D"/>
    <w:rsid w:val="00942D21"/>
    <w:rsid w:val="009453E2"/>
    <w:rsid w:val="00945E2D"/>
    <w:rsid w:val="00955CB1"/>
    <w:rsid w:val="009568A4"/>
    <w:rsid w:val="00972383"/>
    <w:rsid w:val="00975809"/>
    <w:rsid w:val="00983653"/>
    <w:rsid w:val="00990765"/>
    <w:rsid w:val="00995FC6"/>
    <w:rsid w:val="009A2AA1"/>
    <w:rsid w:val="009B5DF4"/>
    <w:rsid w:val="009B6CDF"/>
    <w:rsid w:val="009C13AF"/>
    <w:rsid w:val="009C3609"/>
    <w:rsid w:val="009C4186"/>
    <w:rsid w:val="009C53CF"/>
    <w:rsid w:val="009E05CD"/>
    <w:rsid w:val="009E1C0F"/>
    <w:rsid w:val="009E60D3"/>
    <w:rsid w:val="009E77FF"/>
    <w:rsid w:val="009F2B18"/>
    <w:rsid w:val="009F6F41"/>
    <w:rsid w:val="00A05C48"/>
    <w:rsid w:val="00A2641A"/>
    <w:rsid w:val="00A30664"/>
    <w:rsid w:val="00A30CF4"/>
    <w:rsid w:val="00A3183D"/>
    <w:rsid w:val="00A325BE"/>
    <w:rsid w:val="00A32847"/>
    <w:rsid w:val="00A35481"/>
    <w:rsid w:val="00A447BA"/>
    <w:rsid w:val="00A44EED"/>
    <w:rsid w:val="00A522F8"/>
    <w:rsid w:val="00A56CB8"/>
    <w:rsid w:val="00A56D2E"/>
    <w:rsid w:val="00A63673"/>
    <w:rsid w:val="00A641CB"/>
    <w:rsid w:val="00A6423F"/>
    <w:rsid w:val="00A8087C"/>
    <w:rsid w:val="00A84062"/>
    <w:rsid w:val="00A860BE"/>
    <w:rsid w:val="00A86C38"/>
    <w:rsid w:val="00A933DF"/>
    <w:rsid w:val="00A94A7C"/>
    <w:rsid w:val="00A95EBF"/>
    <w:rsid w:val="00AB11F0"/>
    <w:rsid w:val="00AB2838"/>
    <w:rsid w:val="00AC0877"/>
    <w:rsid w:val="00AC5884"/>
    <w:rsid w:val="00AC7E2D"/>
    <w:rsid w:val="00AD0F35"/>
    <w:rsid w:val="00AD34D1"/>
    <w:rsid w:val="00AF128D"/>
    <w:rsid w:val="00AF19BB"/>
    <w:rsid w:val="00B02FE5"/>
    <w:rsid w:val="00B0368B"/>
    <w:rsid w:val="00B03D21"/>
    <w:rsid w:val="00B063F1"/>
    <w:rsid w:val="00B12ED2"/>
    <w:rsid w:val="00B16F9C"/>
    <w:rsid w:val="00B209EB"/>
    <w:rsid w:val="00B21D47"/>
    <w:rsid w:val="00B24C3D"/>
    <w:rsid w:val="00B26429"/>
    <w:rsid w:val="00B31A4E"/>
    <w:rsid w:val="00B31C6D"/>
    <w:rsid w:val="00B351B2"/>
    <w:rsid w:val="00B35352"/>
    <w:rsid w:val="00B370CC"/>
    <w:rsid w:val="00B4161F"/>
    <w:rsid w:val="00B43C00"/>
    <w:rsid w:val="00B634BE"/>
    <w:rsid w:val="00B63C9F"/>
    <w:rsid w:val="00B64FA4"/>
    <w:rsid w:val="00B661B4"/>
    <w:rsid w:val="00B80DA7"/>
    <w:rsid w:val="00B871B6"/>
    <w:rsid w:val="00B91E67"/>
    <w:rsid w:val="00B9253E"/>
    <w:rsid w:val="00B931FE"/>
    <w:rsid w:val="00B95AB7"/>
    <w:rsid w:val="00BA0AE0"/>
    <w:rsid w:val="00BA6DBB"/>
    <w:rsid w:val="00BA75D1"/>
    <w:rsid w:val="00BB232B"/>
    <w:rsid w:val="00BC7992"/>
    <w:rsid w:val="00BD26A6"/>
    <w:rsid w:val="00BD2AA1"/>
    <w:rsid w:val="00BE0EB3"/>
    <w:rsid w:val="00BF139B"/>
    <w:rsid w:val="00C04A74"/>
    <w:rsid w:val="00C07F90"/>
    <w:rsid w:val="00C126FA"/>
    <w:rsid w:val="00C14574"/>
    <w:rsid w:val="00C149CB"/>
    <w:rsid w:val="00C2040C"/>
    <w:rsid w:val="00C23F42"/>
    <w:rsid w:val="00C26120"/>
    <w:rsid w:val="00C341EF"/>
    <w:rsid w:val="00C41AE1"/>
    <w:rsid w:val="00C44FED"/>
    <w:rsid w:val="00C47BC8"/>
    <w:rsid w:val="00C55CAF"/>
    <w:rsid w:val="00C568FA"/>
    <w:rsid w:val="00C569C0"/>
    <w:rsid w:val="00C574E8"/>
    <w:rsid w:val="00C578B2"/>
    <w:rsid w:val="00C618CA"/>
    <w:rsid w:val="00C7648C"/>
    <w:rsid w:val="00C83583"/>
    <w:rsid w:val="00CA006F"/>
    <w:rsid w:val="00CA0265"/>
    <w:rsid w:val="00CA6D24"/>
    <w:rsid w:val="00CC6F4D"/>
    <w:rsid w:val="00CD0B11"/>
    <w:rsid w:val="00CD0FA4"/>
    <w:rsid w:val="00CD4D76"/>
    <w:rsid w:val="00CD617B"/>
    <w:rsid w:val="00CE0D93"/>
    <w:rsid w:val="00CF4027"/>
    <w:rsid w:val="00D03578"/>
    <w:rsid w:val="00D03CCA"/>
    <w:rsid w:val="00D1613D"/>
    <w:rsid w:val="00D227CD"/>
    <w:rsid w:val="00D26710"/>
    <w:rsid w:val="00D33482"/>
    <w:rsid w:val="00D34EEC"/>
    <w:rsid w:val="00D40622"/>
    <w:rsid w:val="00D4178F"/>
    <w:rsid w:val="00D565C0"/>
    <w:rsid w:val="00D71F14"/>
    <w:rsid w:val="00D73F70"/>
    <w:rsid w:val="00D92095"/>
    <w:rsid w:val="00D96517"/>
    <w:rsid w:val="00DA036B"/>
    <w:rsid w:val="00DC1C18"/>
    <w:rsid w:val="00DC4161"/>
    <w:rsid w:val="00DD150B"/>
    <w:rsid w:val="00DF47B6"/>
    <w:rsid w:val="00E01FF0"/>
    <w:rsid w:val="00E02A87"/>
    <w:rsid w:val="00E0533C"/>
    <w:rsid w:val="00E10A5C"/>
    <w:rsid w:val="00E238CE"/>
    <w:rsid w:val="00E2447D"/>
    <w:rsid w:val="00E309A9"/>
    <w:rsid w:val="00E33B59"/>
    <w:rsid w:val="00E33BB4"/>
    <w:rsid w:val="00E34D95"/>
    <w:rsid w:val="00E40330"/>
    <w:rsid w:val="00E4335E"/>
    <w:rsid w:val="00E61660"/>
    <w:rsid w:val="00E6503D"/>
    <w:rsid w:val="00E71B88"/>
    <w:rsid w:val="00E828D1"/>
    <w:rsid w:val="00E84C99"/>
    <w:rsid w:val="00E856FD"/>
    <w:rsid w:val="00E873CF"/>
    <w:rsid w:val="00E912F8"/>
    <w:rsid w:val="00E93925"/>
    <w:rsid w:val="00E939A3"/>
    <w:rsid w:val="00EA08ED"/>
    <w:rsid w:val="00EC1E2A"/>
    <w:rsid w:val="00EC44F4"/>
    <w:rsid w:val="00ED0BF3"/>
    <w:rsid w:val="00ED22E4"/>
    <w:rsid w:val="00ED2F9E"/>
    <w:rsid w:val="00EE49CA"/>
    <w:rsid w:val="00F00E57"/>
    <w:rsid w:val="00F07F14"/>
    <w:rsid w:val="00F20DEC"/>
    <w:rsid w:val="00F21874"/>
    <w:rsid w:val="00F33235"/>
    <w:rsid w:val="00F334A5"/>
    <w:rsid w:val="00F36A90"/>
    <w:rsid w:val="00F436E0"/>
    <w:rsid w:val="00F566E7"/>
    <w:rsid w:val="00F578F9"/>
    <w:rsid w:val="00F71622"/>
    <w:rsid w:val="00F8378E"/>
    <w:rsid w:val="00F94D77"/>
    <w:rsid w:val="00FA5986"/>
    <w:rsid w:val="00FB6AE6"/>
    <w:rsid w:val="00FC1FB8"/>
    <w:rsid w:val="00FD3DC4"/>
    <w:rsid w:val="00FD4018"/>
    <w:rsid w:val="00FE645A"/>
    <w:rsid w:val="00FE752C"/>
    <w:rsid w:val="00FF67B4"/>
    <w:rsid w:val="00FF6C05"/>
    <w:rsid w:val="188F1CD4"/>
    <w:rsid w:val="269A10DA"/>
    <w:rsid w:val="36113E45"/>
    <w:rsid w:val="36ED474B"/>
    <w:rsid w:val="396B3B0E"/>
    <w:rsid w:val="3BAB562B"/>
    <w:rsid w:val="40E03F9A"/>
    <w:rsid w:val="4D8E5B7F"/>
    <w:rsid w:val="5E2D573A"/>
    <w:rsid w:val="793C17A6"/>
    <w:rsid w:val="7BF43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7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paragraph" w:customStyle="1" w:styleId="10">
    <w:name w:val="列出段落1"/>
    <w:basedOn w:val="1"/>
    <w:qFormat/>
    <w:uiPriority w:val="0"/>
    <w:pPr>
      <w:ind w:firstLine="420" w:firstLineChars="200"/>
    </w:pPr>
    <w:rPr>
      <w:rFonts w:ascii="Times New Roman" w:hAnsi="Times New Roman"/>
    </w:rPr>
  </w:style>
  <w:style w:type="paragraph" w:customStyle="1" w:styleId="11">
    <w:name w:val="列出段落2"/>
    <w:basedOn w:val="1"/>
    <w:qFormat/>
    <w:uiPriority w:val="0"/>
    <w:pPr>
      <w:ind w:firstLine="420" w:firstLineChars="200"/>
    </w:pPr>
  </w:style>
  <w:style w:type="character" w:customStyle="1" w:styleId="12">
    <w:name w:val="页眉 Char"/>
    <w:basedOn w:val="8"/>
    <w:link w:val="5"/>
    <w:qFormat/>
    <w:uiPriority w:val="99"/>
    <w:rPr>
      <w:rFonts w:ascii="Calibri" w:hAnsi="Calibri" w:cs="黑体"/>
      <w:sz w:val="18"/>
      <w:szCs w:val="18"/>
    </w:rPr>
  </w:style>
  <w:style w:type="character" w:customStyle="1" w:styleId="13">
    <w:name w:val="页脚 Char"/>
    <w:basedOn w:val="8"/>
    <w:link w:val="4"/>
    <w:qFormat/>
    <w:uiPriority w:val="99"/>
    <w:rPr>
      <w:rFonts w:ascii="Calibri" w:hAnsi="Calibri" w:cs="黑体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Char"/>
    <w:basedOn w:val="8"/>
    <w:link w:val="3"/>
    <w:semiHidden/>
    <w:qFormat/>
    <w:uiPriority w:val="99"/>
    <w:rPr>
      <w:rFonts w:ascii="Calibri" w:hAnsi="Calibri" w:cs="黑体"/>
      <w:sz w:val="18"/>
      <w:szCs w:val="18"/>
    </w:rPr>
  </w:style>
  <w:style w:type="character" w:customStyle="1" w:styleId="16">
    <w:name w:val="批注文字 Char"/>
    <w:basedOn w:val="8"/>
    <w:link w:val="2"/>
    <w:semiHidden/>
    <w:qFormat/>
    <w:uiPriority w:val="99"/>
    <w:rPr>
      <w:rFonts w:ascii="Calibri" w:hAnsi="Calibri" w:cs="黑体"/>
      <w:kern w:val="2"/>
      <w:sz w:val="21"/>
      <w:szCs w:val="24"/>
    </w:rPr>
  </w:style>
  <w:style w:type="character" w:customStyle="1" w:styleId="17">
    <w:name w:val="批注主题 Char"/>
    <w:basedOn w:val="16"/>
    <w:link w:val="6"/>
    <w:semiHidden/>
    <w:qFormat/>
    <w:uiPriority w:val="99"/>
    <w:rPr>
      <w:rFonts w:ascii="Calibri" w:hAnsi="Calibri" w:cs="黑体"/>
      <w:b/>
      <w:bCs/>
      <w:kern w:val="2"/>
      <w:sz w:val="21"/>
      <w:szCs w:val="24"/>
    </w:rPr>
  </w:style>
  <w:style w:type="paragraph" w:customStyle="1" w:styleId="18">
    <w:name w:val="无间隔1"/>
    <w:qFormat/>
    <w:uiPriority w:val="99"/>
    <w:pPr>
      <w:adjustRightInd w:val="0"/>
      <w:snapToGrid w:val="0"/>
    </w:pPr>
    <w:rPr>
      <w:rFonts w:ascii="Tahoma" w:hAnsi="Tahoma" w:eastAsia="宋体" w:cs="Tahoma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E2E88F-1C27-46B5-B072-463BD7FDF3F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577</Words>
  <Characters>3291</Characters>
  <Lines>27</Lines>
  <Paragraphs>7</Paragraphs>
  <TotalTime>86</TotalTime>
  <ScaleCrop>false</ScaleCrop>
  <LinksUpToDate>false</LinksUpToDate>
  <CharactersWithSpaces>3861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2021-03-08T07:19:00Z</dcterms:created>
  <dc:creator>76993</dc:creator>
  <cp:lastModifiedBy>Administrator</cp:lastModifiedBy>
  <dcterms:modified xsi:type="dcterms:W3CDTF">2021-05-23T09:18:01Z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ED25826B7DDB4266883B8667B2CA9BC5</vt:lpwstr>
  </property>
</Properties>
</file>